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E1E" w:rsidRDefault="00831E1E" w:rsidP="00831E1E">
      <w:pPr>
        <w:autoSpaceDE w:val="0"/>
        <w:autoSpaceDN w:val="0"/>
        <w:spacing w:after="4588" w:line="220" w:lineRule="exact"/>
      </w:pPr>
    </w:p>
    <w:p w:rsidR="00831E1E" w:rsidRDefault="00831E1E" w:rsidP="00831E1E">
      <w:pPr>
        <w:autoSpaceDE w:val="0"/>
        <w:autoSpaceDN w:val="0"/>
        <w:spacing w:after="0" w:line="386" w:lineRule="auto"/>
        <w:ind w:left="288" w:right="288"/>
        <w:jc w:val="center"/>
      </w:pPr>
      <w:r>
        <w:rPr>
          <w:rFonts w:ascii="Times New Roman" w:eastAsia="Times New Roman" w:hAnsi="Times New Roman"/>
          <w:color w:val="000000"/>
          <w:sz w:val="24"/>
        </w:rPr>
        <w:t xml:space="preserve">Literature Review: Group 6 </w:t>
      </w:r>
      <w:r>
        <w:br/>
      </w:r>
      <w:r>
        <w:rPr>
          <w:rFonts w:ascii="Times New Roman" w:eastAsia="Times New Roman" w:hAnsi="Times New Roman"/>
          <w:color w:val="000000"/>
          <w:sz w:val="24"/>
        </w:rPr>
        <w:t xml:space="preserve">Student Names  </w:t>
      </w:r>
      <w:r>
        <w:br/>
      </w:r>
      <w:r>
        <w:rPr>
          <w:rFonts w:ascii="Times New Roman" w:eastAsia="Times New Roman" w:hAnsi="Times New Roman"/>
          <w:color w:val="000000"/>
          <w:sz w:val="24"/>
        </w:rPr>
        <w:t xml:space="preserve">Research Methods for Public Administrators I </w:t>
      </w:r>
      <w:r>
        <w:br/>
      </w:r>
      <w:r>
        <w:rPr>
          <w:rFonts w:ascii="Times New Roman" w:eastAsia="Times New Roman" w:hAnsi="Times New Roman"/>
          <w:color w:val="000000"/>
          <w:sz w:val="24"/>
        </w:rPr>
        <w:t xml:space="preserve">Professor  </w:t>
      </w:r>
      <w:r>
        <w:br/>
      </w:r>
      <w:r>
        <w:rPr>
          <w:rFonts w:ascii="Times New Roman" w:eastAsia="Times New Roman" w:hAnsi="Times New Roman"/>
          <w:color w:val="000000"/>
          <w:sz w:val="24"/>
        </w:rPr>
        <w:t xml:space="preserve">Date </w:t>
      </w:r>
    </w:p>
    <w:p w:rsidR="00831E1E" w:rsidRDefault="00831E1E" w:rsidP="00831E1E">
      <w:pPr>
        <w:sectPr w:rsidR="00831E1E" w:rsidSect="00831E1E">
          <w:pgSz w:w="12240" w:h="15840"/>
          <w:pgMar w:top="1440" w:right="1440" w:bottom="1440"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tabs>
          <w:tab w:val="left" w:pos="720"/>
        </w:tabs>
        <w:autoSpaceDE w:val="0"/>
        <w:autoSpaceDN w:val="0"/>
        <w:spacing w:after="0" w:line="456" w:lineRule="auto"/>
      </w:pPr>
      <w:r>
        <w:rPr>
          <w:rFonts w:ascii="Times New Roman" w:eastAsia="Times New Roman" w:hAnsi="Times New Roman"/>
          <w:b/>
          <w:color w:val="000000"/>
          <w:sz w:val="24"/>
        </w:rPr>
        <w:t xml:space="preserve">Introduction </w:t>
      </w:r>
      <w:r>
        <w:br/>
      </w:r>
      <w:r>
        <w:tab/>
      </w:r>
      <w:r>
        <w:rPr>
          <w:rFonts w:ascii="Times New Roman" w:eastAsia="Times New Roman" w:hAnsi="Times New Roman"/>
          <w:color w:val="000000"/>
          <w:sz w:val="24"/>
        </w:rPr>
        <w:t xml:space="preserve">The child welfare system in the United States is designed to protect children while promoting safe and stable family environments, with family reunification serving as a primary permanency goal. Reunification involves returning children to their parents following removal while ensuring that the conditions leading to system involvement have been adequately addressed. Although reunification is widely recognized as a preferred outcome, achieving it is often complex and shaped by a range of family, service, and system-level factors. In large public agencies such as the Los Angeles County Department of Children and Family Services, these challenges are intensified by high caseloads, limited resources, and the need for coordinated service delivery. </w:t>
      </w:r>
    </w:p>
    <w:p w:rsidR="00831E1E" w:rsidRDefault="00831E1E" w:rsidP="00831E1E">
      <w:pPr>
        <w:autoSpaceDE w:val="0"/>
        <w:autoSpaceDN w:val="0"/>
        <w:spacing w:before="286" w:after="0" w:line="449" w:lineRule="auto"/>
        <w:ind w:firstLine="720"/>
      </w:pPr>
      <w:r>
        <w:rPr>
          <w:rFonts w:ascii="Times New Roman" w:eastAsia="Times New Roman" w:hAnsi="Times New Roman"/>
          <w:color w:val="000000"/>
          <w:sz w:val="24"/>
        </w:rPr>
        <w:t xml:space="preserve">Prior studies have examined various predictors of reunification outcomes, including parental participation in services, case risk levels, and broader structural barriers. However, less attention has been given to how workforce and service delivery factors jointly influence case outcomes. In particular, the interaction between caseload size, family engagement, and service coordination remains underexplored, despite their potential impact on the effectiveness and efficiency of service delivery. This literature review examines existing research on reunification outcomes, with a focus on these key factors, to better understand how they influence case trajectories within child welfare systems. </w:t>
      </w:r>
    </w:p>
    <w:p w:rsidR="00831E1E" w:rsidRDefault="00831E1E" w:rsidP="00831E1E">
      <w:pPr>
        <w:tabs>
          <w:tab w:val="left" w:pos="720"/>
        </w:tabs>
        <w:autoSpaceDE w:val="0"/>
        <w:autoSpaceDN w:val="0"/>
        <w:spacing w:before="286" w:after="0" w:line="430" w:lineRule="auto"/>
      </w:pPr>
      <w:r>
        <w:rPr>
          <w:rFonts w:ascii="Times New Roman" w:eastAsia="Times New Roman" w:hAnsi="Times New Roman"/>
          <w:b/>
          <w:color w:val="000000"/>
          <w:sz w:val="24"/>
        </w:rPr>
        <w:t xml:space="preserve">Reunification Outcomes </w:t>
      </w:r>
      <w:r>
        <w:br/>
      </w:r>
      <w:r>
        <w:tab/>
      </w:r>
      <w:r>
        <w:rPr>
          <w:rFonts w:ascii="Times New Roman" w:eastAsia="Times New Roman" w:hAnsi="Times New Roman"/>
          <w:color w:val="000000"/>
          <w:sz w:val="24"/>
        </w:rPr>
        <w:t xml:space="preserve">Family reunification has been a central goal of the child welfare system and refers to the safe return of children to their biological parents following removal (LaBrenz et al., 2020; Carvalho et al., 2018). As a permanency outcome, it has been widely valued for preserving family relationships while maintaining child safety (Connell et al., 2022; Teixeira et al., 2022). </w:t>
      </w:r>
    </w:p>
    <w:p w:rsidR="00831E1E" w:rsidRDefault="00831E1E" w:rsidP="00831E1E">
      <w:pPr>
        <w:sectPr w:rsidR="00831E1E" w:rsidSect="00831E1E">
          <w:pgSz w:w="12240" w:h="15840"/>
          <w:pgMar w:top="724" w:right="1440" w:bottom="988"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autoSpaceDE w:val="0"/>
        <w:autoSpaceDN w:val="0"/>
        <w:spacing w:after="0" w:line="449" w:lineRule="auto"/>
      </w:pPr>
      <w:r>
        <w:rPr>
          <w:rFonts w:ascii="Times New Roman" w:eastAsia="Times New Roman" w:hAnsi="Times New Roman"/>
          <w:color w:val="000000"/>
          <w:sz w:val="24"/>
        </w:rPr>
        <w:t xml:space="preserve">Despite its importance, reunification has reflected a multifaceted process shaped by both family circumstances and broader system conditions. Earlier research has shown that outcomes depended not only on parental progress but also on how effectively services were delivered and coordinated. For instance, LaBrenz et al. (2020) identified both family characteristics and state-level factors as key predictors of reunification, while other studies emphasized the role of service accessibility and professional decision-making in shaping outcomes (Carvalho et al., 2018; Teixeira et al., 2022). Collectively, this body of work indicated that reunification outcomes have emerged from the interaction of individual and system-level influences. </w:t>
      </w:r>
    </w:p>
    <w:p w:rsidR="00831E1E" w:rsidRDefault="00831E1E" w:rsidP="00831E1E">
      <w:pPr>
        <w:autoSpaceDE w:val="0"/>
        <w:autoSpaceDN w:val="0"/>
        <w:spacing w:before="286" w:after="0" w:line="458" w:lineRule="auto"/>
        <w:ind w:firstLine="720"/>
      </w:pPr>
      <w:r>
        <w:rPr>
          <w:rFonts w:ascii="Times New Roman" w:eastAsia="Times New Roman" w:hAnsi="Times New Roman"/>
          <w:color w:val="000000"/>
          <w:sz w:val="24"/>
        </w:rPr>
        <w:t xml:space="preserve">Barriers within the system have further complicated the reunification process. Many families have encountered difficulties accessing services, maintaining participation, and navigating complex systems of care (Jukes et al., 2022; Davies et al., 2023). In addition, differences in communication and coordination across providers contributed to variation in case outcomes, with more structured and integrated systems linked to improved permanency results (Connell et al., 2022; Crompton et al., 2026). Researchers have typically examined reunification using administrative or longitudinal measures, including the likelihood of reunification within a given timeframe and duration in out-of-home care (Ahn et al., 2023; LaBrenz et al., 2020). While these studies have provided valuable insight into general trends, less attention has been given to how specific, measurable aspects of service delivery function together. In particular, the combined influence of caseload size, family engagement, and service coordination has remained insufficiently examined. </w:t>
      </w:r>
    </w:p>
    <w:p w:rsidR="00831E1E" w:rsidRDefault="00831E1E" w:rsidP="00831E1E">
      <w:pPr>
        <w:tabs>
          <w:tab w:val="left" w:pos="720"/>
        </w:tabs>
        <w:autoSpaceDE w:val="0"/>
        <w:autoSpaceDN w:val="0"/>
        <w:spacing w:before="286" w:after="0" w:line="396" w:lineRule="auto"/>
      </w:pPr>
      <w:r>
        <w:rPr>
          <w:rFonts w:ascii="Times New Roman" w:eastAsia="Times New Roman" w:hAnsi="Times New Roman"/>
          <w:b/>
          <w:color w:val="000000"/>
          <w:sz w:val="24"/>
        </w:rPr>
        <w:t xml:space="preserve">Caseload Size </w:t>
      </w:r>
      <w:r>
        <w:br/>
      </w:r>
      <w:r>
        <w:tab/>
      </w:r>
      <w:r>
        <w:rPr>
          <w:rFonts w:ascii="Times New Roman" w:eastAsia="Times New Roman" w:hAnsi="Times New Roman"/>
          <w:color w:val="000000"/>
          <w:sz w:val="24"/>
        </w:rPr>
        <w:t xml:space="preserve">Empirical research has consistently linked excessive caseloads in child welfare to burnout and staff turnover, both of which undermine workforce stability and service quality. Nilsen et al. </w:t>
      </w:r>
    </w:p>
    <w:p w:rsidR="00831E1E" w:rsidRDefault="00831E1E" w:rsidP="00831E1E">
      <w:pPr>
        <w:sectPr w:rsidR="00831E1E" w:rsidSect="00831E1E">
          <w:pgSz w:w="12240" w:h="15840"/>
          <w:pgMar w:top="724" w:right="1368" w:bottom="988"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autoSpaceDE w:val="0"/>
        <w:autoSpaceDN w:val="0"/>
        <w:spacing w:after="0" w:line="449" w:lineRule="auto"/>
      </w:pPr>
      <w:r>
        <w:rPr>
          <w:rFonts w:ascii="Times New Roman" w:eastAsia="Times New Roman" w:hAnsi="Times New Roman"/>
          <w:color w:val="000000"/>
          <w:sz w:val="24"/>
        </w:rPr>
        <w:t xml:space="preserve">(2023) examined 225 child welfare workers in Norway and found that workload was a primary predictor of turnover, particularly among less experienced workers. Burnout, characterized by emotional exhaustion, cynicism, and reduced professional efficacy, was associated with higher turnover rates and disruptions in continuity of care for children and families. Complementing these findings, Fuseini (2024) reported that Canadian frontline workers frequently exceeded agency caseload limits, resulting in increased stress and reduced effectiveness in practice. These findings illustrate how workload pressures can limit workers’ capacity to engage meaningfully with families and manage cases effectively. </w:t>
      </w:r>
    </w:p>
    <w:p w:rsidR="00831E1E" w:rsidRDefault="00831E1E" w:rsidP="00831E1E">
      <w:pPr>
        <w:autoSpaceDE w:val="0"/>
        <w:autoSpaceDN w:val="0"/>
        <w:spacing w:before="286" w:after="0" w:line="444" w:lineRule="auto"/>
        <w:ind w:firstLine="720"/>
      </w:pPr>
      <w:r>
        <w:rPr>
          <w:rFonts w:ascii="Times New Roman" w:eastAsia="Times New Roman" w:hAnsi="Times New Roman"/>
          <w:color w:val="000000"/>
          <w:sz w:val="24"/>
        </w:rPr>
        <w:t xml:space="preserve">Beyond individual impacts, high caseloads contribute to broader organizational </w:t>
      </w:r>
      <w:r>
        <w:br/>
      </w:r>
      <w:r>
        <w:rPr>
          <w:rFonts w:ascii="Times New Roman" w:eastAsia="Times New Roman" w:hAnsi="Times New Roman"/>
          <w:color w:val="000000"/>
          <w:sz w:val="24"/>
        </w:rPr>
        <w:t xml:space="preserve">challenges and negatively affect family outcomes. MacLochlainn et al. (2026) found that elevated caseloads contributed to workforce instability and were linked to placement disruptions, delays in permanency outcomes, and increased emotional distress for children and families. Other studies further demonstrated the relationship between workload and service quality, with McFadden et al. (2024) finding that workload strain intensified as caseloads increased and Clark et al. (2024) demonstrating declines in core casework functions under high workload conditions. </w:t>
      </w:r>
    </w:p>
    <w:p w:rsidR="00831E1E" w:rsidRDefault="00831E1E" w:rsidP="00831E1E">
      <w:pPr>
        <w:autoSpaceDE w:val="0"/>
        <w:autoSpaceDN w:val="0"/>
        <w:spacing w:before="286" w:after="0" w:line="430" w:lineRule="auto"/>
      </w:pPr>
      <w:r>
        <w:rPr>
          <w:rFonts w:ascii="Times New Roman" w:eastAsia="Times New Roman" w:hAnsi="Times New Roman"/>
          <w:color w:val="000000"/>
          <w:sz w:val="24"/>
        </w:rPr>
        <w:t xml:space="preserve">Together, the evidence indicates that caseload size plays a critical role in shaping workforce functioning and service delivery. However, fewer studies have directly examined how these workload conditions have influenced reunification outcomes. These findings align with broader research indicating that both system capacity and service delivery processes play a critical role in shaping child welfare outcomes. </w:t>
      </w:r>
    </w:p>
    <w:p w:rsidR="00831E1E" w:rsidRDefault="00831E1E" w:rsidP="00831E1E">
      <w:pPr>
        <w:tabs>
          <w:tab w:val="left" w:pos="720"/>
        </w:tabs>
        <w:autoSpaceDE w:val="0"/>
        <w:autoSpaceDN w:val="0"/>
        <w:spacing w:before="286" w:after="0" w:line="396" w:lineRule="auto"/>
      </w:pPr>
      <w:r>
        <w:rPr>
          <w:rFonts w:ascii="Times New Roman" w:eastAsia="Times New Roman" w:hAnsi="Times New Roman"/>
          <w:b/>
          <w:color w:val="000000"/>
          <w:sz w:val="24"/>
        </w:rPr>
        <w:t xml:space="preserve">Family Engagement </w:t>
      </w:r>
      <w:r>
        <w:br/>
      </w:r>
      <w:r>
        <w:tab/>
      </w:r>
      <w:proofErr w:type="spellStart"/>
      <w:r>
        <w:rPr>
          <w:rFonts w:ascii="Times New Roman" w:eastAsia="Times New Roman" w:hAnsi="Times New Roman"/>
          <w:color w:val="000000"/>
          <w:sz w:val="24"/>
        </w:rPr>
        <w:t>Engagement</w:t>
      </w:r>
      <w:proofErr w:type="spellEnd"/>
      <w:r>
        <w:rPr>
          <w:rFonts w:ascii="Times New Roman" w:eastAsia="Times New Roman" w:hAnsi="Times New Roman"/>
          <w:color w:val="000000"/>
          <w:sz w:val="24"/>
        </w:rPr>
        <w:t xml:space="preserve"> between families and service providers has been widely linked to improved outcomes in child welfare cases. When families actively participated in services such as </w:t>
      </w:r>
    </w:p>
    <w:p w:rsidR="00831E1E" w:rsidRDefault="00831E1E" w:rsidP="00831E1E">
      <w:pPr>
        <w:sectPr w:rsidR="00831E1E" w:rsidSect="00831E1E">
          <w:pgSz w:w="12240" w:h="15840"/>
          <w:pgMar w:top="724" w:right="1394" w:bottom="988"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autoSpaceDE w:val="0"/>
        <w:autoSpaceDN w:val="0"/>
        <w:spacing w:after="0" w:line="430" w:lineRule="auto"/>
        <w:ind w:right="144"/>
      </w:pPr>
      <w:r>
        <w:rPr>
          <w:rFonts w:ascii="Times New Roman" w:eastAsia="Times New Roman" w:hAnsi="Times New Roman"/>
          <w:color w:val="000000"/>
          <w:sz w:val="24"/>
        </w:rPr>
        <w:t xml:space="preserve">counseling, therapy, and case planning, they were more likely to remain involved and make progress toward reunification (Fuller &amp; Zhang, 2017; Lai et al., 2025). Increased interaction between social workers and families was also associated with stronger engagement and more positive case trajectories, suggesting that the quality of these relationships played a significant role in shaping outcomes (Lai et al., 2025). </w:t>
      </w:r>
    </w:p>
    <w:p w:rsidR="00831E1E" w:rsidRDefault="00831E1E" w:rsidP="00831E1E">
      <w:pPr>
        <w:autoSpaceDE w:val="0"/>
        <w:autoSpaceDN w:val="0"/>
        <w:spacing w:before="286" w:after="0" w:line="449" w:lineRule="auto"/>
        <w:ind w:firstLine="720"/>
      </w:pPr>
      <w:r>
        <w:rPr>
          <w:rFonts w:ascii="Times New Roman" w:eastAsia="Times New Roman" w:hAnsi="Times New Roman"/>
          <w:color w:val="000000"/>
          <w:sz w:val="24"/>
        </w:rPr>
        <w:t xml:space="preserve">Interactions between families and service providers also influenced the effectiveness of engagement. Collaborative and trust-based interactions strengthened service effectiveness and improved overall experiences within the system (Toros et al., 2018). Despite these benefits, barriers such as difficulty engaging parents and broader systemic constraints limited consistent participation in services (Jukes et al., 2022). As a result, engagement has functioned both as an ongoing process and as a contributing factor to outcomes. While existing research established its importance, fewer studies examined how specific indicators, such as frequency of contact, related directly to reunification outcomes. </w:t>
      </w:r>
    </w:p>
    <w:p w:rsidR="00831E1E" w:rsidRDefault="00831E1E" w:rsidP="00831E1E">
      <w:pPr>
        <w:tabs>
          <w:tab w:val="left" w:pos="720"/>
        </w:tabs>
        <w:autoSpaceDE w:val="0"/>
        <w:autoSpaceDN w:val="0"/>
        <w:spacing w:before="286" w:after="0" w:line="449" w:lineRule="auto"/>
        <w:ind w:right="144"/>
      </w:pPr>
      <w:r>
        <w:rPr>
          <w:rFonts w:ascii="Times New Roman" w:eastAsia="Times New Roman" w:hAnsi="Times New Roman"/>
          <w:b/>
          <w:color w:val="000000"/>
          <w:sz w:val="24"/>
        </w:rPr>
        <w:t xml:space="preserve">Service Coordination </w:t>
      </w:r>
      <w:r>
        <w:br/>
      </w:r>
      <w:r>
        <w:tab/>
      </w:r>
      <w:r>
        <w:rPr>
          <w:rFonts w:ascii="Times New Roman" w:eastAsia="Times New Roman" w:hAnsi="Times New Roman"/>
          <w:color w:val="000000"/>
          <w:sz w:val="24"/>
        </w:rPr>
        <w:t xml:space="preserve">Completing required services is a central part of the reunification process, yet doing so has often been complicated for families involved in the child welfare system. Parents were typically expected to complete multiple programs, including mental health treatment, parenting education, and domestic violence interventions. In practice, accessing these services involved navigating fragmented systems, long wait times, and logistical barriers (Davies et al., 2023; Jukes et al., 2022). These challenges made it difficult for families to maintain consistent participation and progress through case plans. </w:t>
      </w:r>
    </w:p>
    <w:p w:rsidR="00831E1E" w:rsidRDefault="00831E1E" w:rsidP="00831E1E">
      <w:pPr>
        <w:tabs>
          <w:tab w:val="left" w:pos="720"/>
        </w:tabs>
        <w:autoSpaceDE w:val="0"/>
        <w:autoSpaceDN w:val="0"/>
        <w:spacing w:before="286" w:after="0" w:line="355" w:lineRule="auto"/>
      </w:pPr>
      <w:r>
        <w:tab/>
      </w:r>
      <w:r>
        <w:rPr>
          <w:rFonts w:ascii="Times New Roman" w:eastAsia="Times New Roman" w:hAnsi="Times New Roman"/>
          <w:color w:val="000000"/>
          <w:sz w:val="24"/>
        </w:rPr>
        <w:t xml:space="preserve">System-level coordination has played a crucial role in shaping these experiences. When services were aligned and communication between providers was effective, families were better </w:t>
      </w:r>
    </w:p>
    <w:p w:rsidR="00831E1E" w:rsidRDefault="00831E1E" w:rsidP="00831E1E">
      <w:pPr>
        <w:sectPr w:rsidR="00831E1E" w:rsidSect="00831E1E">
          <w:pgSz w:w="12240" w:h="15840"/>
          <w:pgMar w:top="724" w:right="1440" w:bottom="988"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autoSpaceDE w:val="0"/>
        <w:autoSpaceDN w:val="0"/>
        <w:spacing w:after="0" w:line="444" w:lineRule="auto"/>
      </w:pPr>
      <w:r>
        <w:rPr>
          <w:rFonts w:ascii="Times New Roman" w:eastAsia="Times New Roman" w:hAnsi="Times New Roman"/>
          <w:color w:val="000000"/>
          <w:sz w:val="24"/>
        </w:rPr>
        <w:t xml:space="preserve">able to engage and complete required programs (Connell et al., 2022; Crompton et al., 2026). On the other hand, delays in referrals and gaps in coordination reduced the likelihood of successful completion (Ahn et al., 2023). Research showed that both individual motivation and structural conditions influenced service engagement, underscoring the need for coordinated systems of care. (Ahn et al., 2023; Connell et al., 2022). Although prior studies emphasized the importance of coordination, fewer examined how measurable aspects of service delivery directly affected reunification outcomes. </w:t>
      </w:r>
    </w:p>
    <w:p w:rsidR="00831E1E" w:rsidRDefault="00831E1E" w:rsidP="00831E1E">
      <w:pPr>
        <w:tabs>
          <w:tab w:val="left" w:pos="720"/>
        </w:tabs>
        <w:autoSpaceDE w:val="0"/>
        <w:autoSpaceDN w:val="0"/>
        <w:spacing w:before="286" w:after="0" w:line="449" w:lineRule="auto"/>
      </w:pPr>
      <w:r>
        <w:rPr>
          <w:rFonts w:ascii="Times New Roman" w:eastAsia="Times New Roman" w:hAnsi="Times New Roman"/>
          <w:b/>
          <w:color w:val="000000"/>
          <w:sz w:val="24"/>
        </w:rPr>
        <w:t xml:space="preserve">Limitations on Existing Research </w:t>
      </w:r>
      <w:r>
        <w:br/>
      </w:r>
      <w:r>
        <w:tab/>
      </w:r>
      <w:r>
        <w:rPr>
          <w:rFonts w:ascii="Times New Roman" w:eastAsia="Times New Roman" w:hAnsi="Times New Roman"/>
          <w:color w:val="000000"/>
          <w:sz w:val="24"/>
        </w:rPr>
        <w:t xml:space="preserve">Although a substantial body of research examined child welfare outcomes, important gaps remained. Many studies focused on individual factors or service participation in isolation, rather than considering how multiple variables interacted within complex systems (LaBrenz et al., 2020; Davies et al., 2023). As a result, the combined influence of workforce conditions and service delivery processes was not fully explored. This gap is particularly relevant in large public systems such as the Los Angeles County Department of Children and Family Services, </w:t>
      </w:r>
      <w:proofErr w:type="gramStart"/>
      <w:r>
        <w:rPr>
          <w:rFonts w:ascii="Times New Roman" w:eastAsia="Times New Roman" w:hAnsi="Times New Roman"/>
          <w:color w:val="000000"/>
          <w:sz w:val="24"/>
        </w:rPr>
        <w:t>where</w:t>
      </w:r>
      <w:proofErr w:type="gramEnd"/>
      <w:r>
        <w:rPr>
          <w:rFonts w:ascii="Times New Roman" w:eastAsia="Times New Roman" w:hAnsi="Times New Roman"/>
          <w:color w:val="000000"/>
          <w:sz w:val="24"/>
        </w:rPr>
        <w:t xml:space="preserve"> high demand and structural constraints shape service delivery. </w:t>
      </w:r>
    </w:p>
    <w:p w:rsidR="00831E1E" w:rsidRDefault="00831E1E" w:rsidP="00831E1E">
      <w:pPr>
        <w:autoSpaceDE w:val="0"/>
        <w:autoSpaceDN w:val="0"/>
        <w:spacing w:before="286" w:after="0" w:line="449" w:lineRule="auto"/>
        <w:ind w:right="144" w:firstLine="720"/>
      </w:pPr>
      <w:r>
        <w:rPr>
          <w:rFonts w:ascii="Times New Roman" w:eastAsia="Times New Roman" w:hAnsi="Times New Roman"/>
          <w:color w:val="000000"/>
          <w:sz w:val="24"/>
        </w:rPr>
        <w:t xml:space="preserve">Another limitation involved the types of data used in prior research. Much of the literature relied on qualitative findings or self-reported measures, which provided valuable insight but did not always capture measurable indicators of case progress. Administrative data, including timelines, service use, and contact frequency, have offered an opportunity to examine these factors more systematically (Ahn et al., 2023; Crompton et al., 2026). Addressing these gaps is important for informing policy and improving service delivery. This study will examine these variables together using administrative data to better understand how they influence reunification outcomes. </w:t>
      </w:r>
    </w:p>
    <w:p w:rsidR="00831E1E" w:rsidRDefault="00831E1E" w:rsidP="00831E1E">
      <w:pPr>
        <w:sectPr w:rsidR="00831E1E" w:rsidSect="00831E1E">
          <w:pgSz w:w="12240" w:h="15840"/>
          <w:pgMar w:top="724" w:right="1396" w:bottom="988"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tabs>
          <w:tab w:val="left" w:pos="720"/>
        </w:tabs>
        <w:autoSpaceDE w:val="0"/>
        <w:autoSpaceDN w:val="0"/>
        <w:spacing w:after="0" w:line="454" w:lineRule="auto"/>
      </w:pPr>
      <w:r>
        <w:rPr>
          <w:rFonts w:ascii="Times New Roman" w:eastAsia="Times New Roman" w:hAnsi="Times New Roman"/>
          <w:b/>
          <w:color w:val="000000"/>
          <w:sz w:val="24"/>
        </w:rPr>
        <w:t xml:space="preserve">Conclusion </w:t>
      </w:r>
      <w:r>
        <w:br/>
      </w:r>
      <w:r>
        <w:tab/>
      </w:r>
      <w:r>
        <w:rPr>
          <w:rFonts w:ascii="Times New Roman" w:eastAsia="Times New Roman" w:hAnsi="Times New Roman"/>
          <w:color w:val="000000"/>
          <w:sz w:val="24"/>
        </w:rPr>
        <w:t xml:space="preserve">This literature review highlights the complexity of family reunification within the child welfare system and the range of factors that influence case outcomes. Prior research </w:t>
      </w:r>
      <w:r>
        <w:br/>
      </w:r>
      <w:r>
        <w:rPr>
          <w:rFonts w:ascii="Times New Roman" w:eastAsia="Times New Roman" w:hAnsi="Times New Roman"/>
          <w:color w:val="000000"/>
          <w:sz w:val="24"/>
        </w:rPr>
        <w:t xml:space="preserve">demonstrated that reunification is shaped by family characteristics, service participation, and broader structural conditions. In addition, the literature emphasized the importance of workforce and service delivery factors, including caseload size, family engagement, and service </w:t>
      </w:r>
      <w:r>
        <w:br/>
      </w:r>
      <w:r>
        <w:rPr>
          <w:rFonts w:ascii="Times New Roman" w:eastAsia="Times New Roman" w:hAnsi="Times New Roman"/>
          <w:color w:val="000000"/>
          <w:sz w:val="24"/>
        </w:rPr>
        <w:t xml:space="preserve">coordination, in shaping how families progress through the system. Overall, these findings highlighted the need to examine both individual and system-level influences when evaluating child welfare outcomes. </w:t>
      </w:r>
    </w:p>
    <w:p w:rsidR="00831E1E" w:rsidRDefault="00831E1E" w:rsidP="00831E1E">
      <w:pPr>
        <w:autoSpaceDE w:val="0"/>
        <w:autoSpaceDN w:val="0"/>
        <w:spacing w:before="286" w:after="0" w:line="454" w:lineRule="auto"/>
        <w:ind w:firstLine="720"/>
      </w:pPr>
      <w:r>
        <w:rPr>
          <w:rFonts w:ascii="Times New Roman" w:eastAsia="Times New Roman" w:hAnsi="Times New Roman"/>
          <w:color w:val="000000"/>
          <w:sz w:val="24"/>
        </w:rPr>
        <w:t xml:space="preserve">Despite these contributions, gaps remain in understanding how these factors interact within large public child welfare systems. In particular, limited research has examined these variables simultaneously or utilized administrative data to assess measurable indicators of service delivery and case progress. Addressing these gaps is important for public administration, as it can inform more effective policies and practices related to staffing, resource allocation, and service coordination. By focusing on these factors within a large system such as the Los Angeles County Department of Children and Family Services, this study aims to contribute to a more comprehensive understanding of reunification outcomes and support improvements in child welfare service delivery. </w:t>
      </w:r>
    </w:p>
    <w:p w:rsidR="00831E1E" w:rsidRDefault="00831E1E" w:rsidP="00831E1E">
      <w:pPr>
        <w:sectPr w:rsidR="00831E1E" w:rsidSect="00831E1E">
          <w:pgSz w:w="12240" w:h="15840"/>
          <w:pgMar w:top="724" w:right="1440" w:bottom="1440"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tabs>
          <w:tab w:val="left" w:pos="720"/>
          <w:tab w:val="left" w:pos="4122"/>
        </w:tabs>
        <w:autoSpaceDE w:val="0"/>
        <w:autoSpaceDN w:val="0"/>
        <w:spacing w:after="0" w:line="396" w:lineRule="auto"/>
        <w:ind w:right="144"/>
      </w:pPr>
      <w:r>
        <w:tab/>
      </w:r>
      <w:r>
        <w:tab/>
      </w:r>
      <w:r>
        <w:rPr>
          <w:rFonts w:ascii="Times New Roman" w:eastAsia="Times New Roman" w:hAnsi="Times New Roman"/>
          <w:b/>
          <w:color w:val="000000"/>
          <w:sz w:val="24"/>
        </w:rPr>
        <w:t xml:space="preserve">References </w:t>
      </w:r>
      <w:r>
        <w:br/>
      </w:r>
      <w:r>
        <w:rPr>
          <w:rFonts w:ascii="Times New Roman" w:eastAsia="Times New Roman" w:hAnsi="Times New Roman"/>
          <w:color w:val="000000"/>
          <w:sz w:val="24"/>
        </w:rPr>
        <w:t xml:space="preserve">Ahn, H., Williams, K., Kim, J., &amp; Moeller, E. (2023). Factors Associated </w:t>
      </w:r>
      <w:proofErr w:type="gramStart"/>
      <w:r>
        <w:rPr>
          <w:rFonts w:ascii="Times New Roman" w:eastAsia="Times New Roman" w:hAnsi="Times New Roman"/>
          <w:color w:val="000000"/>
          <w:sz w:val="24"/>
        </w:rPr>
        <w:t>With</w:t>
      </w:r>
      <w:proofErr w:type="gramEnd"/>
      <w:r>
        <w:rPr>
          <w:rFonts w:ascii="Times New Roman" w:eastAsia="Times New Roman" w:hAnsi="Times New Roman"/>
          <w:color w:val="000000"/>
          <w:sz w:val="24"/>
        </w:rPr>
        <w:t xml:space="preserve"> Permanency for </w:t>
      </w:r>
      <w:r>
        <w:tab/>
      </w:r>
      <w:r>
        <w:rPr>
          <w:rFonts w:ascii="Times New Roman" w:eastAsia="Times New Roman" w:hAnsi="Times New Roman"/>
          <w:color w:val="000000"/>
          <w:sz w:val="24"/>
        </w:rPr>
        <w:t xml:space="preserve">Children in Out-Of-Home Placement: A Survival Analysis. </w:t>
      </w:r>
      <w:r>
        <w:rPr>
          <w:rFonts w:ascii="Times New Roman" w:eastAsia="Times New Roman" w:hAnsi="Times New Roman"/>
          <w:i/>
          <w:color w:val="000000"/>
          <w:sz w:val="24"/>
        </w:rPr>
        <w:t>Child Maltreatment</w:t>
      </w:r>
      <w:r>
        <w:rPr>
          <w:rFonts w:ascii="Times New Roman" w:eastAsia="Times New Roman" w:hAnsi="Times New Roman"/>
          <w:color w:val="000000"/>
          <w:sz w:val="24"/>
        </w:rPr>
        <w:t xml:space="preserve">. </w:t>
      </w:r>
    </w:p>
    <w:p w:rsidR="00831E1E" w:rsidRDefault="00831E1E" w:rsidP="00831E1E">
      <w:pPr>
        <w:tabs>
          <w:tab w:val="left" w:pos="720"/>
        </w:tabs>
        <w:autoSpaceDE w:val="0"/>
        <w:autoSpaceDN w:val="0"/>
        <w:spacing w:before="286" w:after="0" w:line="396" w:lineRule="auto"/>
        <w:ind w:right="144"/>
      </w:pPr>
      <w:r>
        <w:tab/>
      </w:r>
      <w:r>
        <w:rPr>
          <w:rFonts w:ascii="Times New Roman" w:eastAsia="Times New Roman" w:hAnsi="Times New Roman"/>
          <w:color w:val="000000"/>
          <w:sz w:val="24"/>
        </w:rPr>
        <w:t xml:space="preserve">https://doi.org/10.1177/10775595231217278 </w:t>
      </w:r>
      <w:r>
        <w:br/>
      </w:r>
      <w:r>
        <w:rPr>
          <w:rFonts w:ascii="Times New Roman" w:eastAsia="Times New Roman" w:hAnsi="Times New Roman"/>
          <w:color w:val="000000"/>
          <w:sz w:val="24"/>
        </w:rPr>
        <w:t xml:space="preserve">Carvalho, J. M. S., Delgado, P., Pinto, V. S., &amp; </w:t>
      </w:r>
      <w:proofErr w:type="spellStart"/>
      <w:r>
        <w:rPr>
          <w:rFonts w:ascii="Times New Roman" w:eastAsia="Times New Roman" w:hAnsi="Times New Roman"/>
          <w:color w:val="000000"/>
          <w:sz w:val="24"/>
        </w:rPr>
        <w:t>Benbenishty</w:t>
      </w:r>
      <w:proofErr w:type="spellEnd"/>
      <w:r>
        <w:rPr>
          <w:rFonts w:ascii="Times New Roman" w:eastAsia="Times New Roman" w:hAnsi="Times New Roman"/>
          <w:color w:val="000000"/>
          <w:sz w:val="24"/>
        </w:rPr>
        <w:t xml:space="preserve">, R. (2018). Reunification in foster </w:t>
      </w:r>
      <w:r>
        <w:tab/>
      </w:r>
      <w:r>
        <w:rPr>
          <w:rFonts w:ascii="Times New Roman" w:eastAsia="Times New Roman" w:hAnsi="Times New Roman"/>
          <w:color w:val="000000"/>
          <w:sz w:val="24"/>
        </w:rPr>
        <w:t xml:space="preserve">care: Influences on decision-making. </w:t>
      </w:r>
      <w:r>
        <w:rPr>
          <w:rFonts w:ascii="Times New Roman" w:eastAsia="Times New Roman" w:hAnsi="Times New Roman"/>
          <w:i/>
          <w:color w:val="000000"/>
          <w:sz w:val="24"/>
        </w:rPr>
        <w:t>Child Abuse &amp; Neglect</w:t>
      </w:r>
      <w:r>
        <w:rPr>
          <w:rFonts w:ascii="Times New Roman" w:eastAsia="Times New Roman" w:hAnsi="Times New Roman"/>
          <w:color w:val="000000"/>
          <w:sz w:val="24"/>
        </w:rPr>
        <w:t xml:space="preserve">, </w:t>
      </w:r>
      <w:r>
        <w:rPr>
          <w:rFonts w:ascii="Times New Roman" w:eastAsia="Times New Roman" w:hAnsi="Times New Roman"/>
          <w:i/>
          <w:color w:val="000000"/>
          <w:sz w:val="24"/>
        </w:rPr>
        <w:t>86</w:t>
      </w:r>
      <w:r>
        <w:rPr>
          <w:rFonts w:ascii="Times New Roman" w:eastAsia="Times New Roman" w:hAnsi="Times New Roman"/>
          <w:color w:val="000000"/>
          <w:sz w:val="24"/>
        </w:rPr>
        <w:t xml:space="preserve">, 67–78. </w:t>
      </w:r>
    </w:p>
    <w:p w:rsidR="00831E1E" w:rsidRDefault="00831E1E" w:rsidP="00831E1E">
      <w:pPr>
        <w:tabs>
          <w:tab w:val="left" w:pos="720"/>
        </w:tabs>
        <w:autoSpaceDE w:val="0"/>
        <w:autoSpaceDN w:val="0"/>
        <w:spacing w:before="286" w:after="0" w:line="449" w:lineRule="auto"/>
      </w:pPr>
      <w:r>
        <w:tab/>
      </w:r>
      <w:r>
        <w:rPr>
          <w:rFonts w:ascii="Times New Roman" w:eastAsia="Times New Roman" w:hAnsi="Times New Roman"/>
          <w:color w:val="000000"/>
          <w:sz w:val="24"/>
        </w:rPr>
        <w:t xml:space="preserve">https://doi.org/10.1016/j.chiabu.2018.09.012 </w:t>
      </w:r>
      <w:r>
        <w:br/>
      </w:r>
      <w:r>
        <w:rPr>
          <w:rFonts w:ascii="Times New Roman" w:eastAsia="Times New Roman" w:hAnsi="Times New Roman"/>
          <w:color w:val="000000"/>
          <w:sz w:val="24"/>
        </w:rPr>
        <w:t xml:space="preserve">Clark, S. L., Miller, B., Akin, B. A., Barney, R. K., Grube, W., McArthur, V., Gulledge, E., &amp; </w:t>
      </w:r>
      <w:r>
        <w:tab/>
      </w:r>
      <w:r>
        <w:rPr>
          <w:rFonts w:ascii="Times New Roman" w:eastAsia="Times New Roman" w:hAnsi="Times New Roman"/>
          <w:color w:val="000000"/>
          <w:sz w:val="24"/>
        </w:rPr>
        <w:t xml:space="preserve">Mitchell, J. (2024). Examining associations between child welfare workforce well-being </w:t>
      </w:r>
      <w:r>
        <w:tab/>
      </w:r>
      <w:r>
        <w:rPr>
          <w:rFonts w:ascii="Times New Roman" w:eastAsia="Times New Roman" w:hAnsi="Times New Roman"/>
          <w:color w:val="000000"/>
          <w:sz w:val="24"/>
        </w:rPr>
        <w:t xml:space="preserve">and utilization of casework skills with children and families. </w:t>
      </w:r>
      <w:r>
        <w:rPr>
          <w:rFonts w:ascii="Times New Roman" w:eastAsia="Times New Roman" w:hAnsi="Times New Roman"/>
          <w:i/>
          <w:color w:val="000000"/>
          <w:sz w:val="24"/>
        </w:rPr>
        <w:t>Child Abuse &amp; Neglect</w:t>
      </w:r>
      <w:r>
        <w:rPr>
          <w:rFonts w:ascii="Times New Roman" w:eastAsia="Times New Roman" w:hAnsi="Times New Roman"/>
          <w:color w:val="000000"/>
          <w:sz w:val="24"/>
        </w:rPr>
        <w:t xml:space="preserve">, </w:t>
      </w:r>
      <w:r>
        <w:rPr>
          <w:rFonts w:ascii="Times New Roman" w:eastAsia="Times New Roman" w:hAnsi="Times New Roman"/>
          <w:i/>
          <w:color w:val="000000"/>
          <w:sz w:val="24"/>
        </w:rPr>
        <w:t>155</w:t>
      </w:r>
      <w:r>
        <w:rPr>
          <w:rFonts w:ascii="Times New Roman" w:eastAsia="Times New Roman" w:hAnsi="Times New Roman"/>
          <w:color w:val="000000"/>
          <w:sz w:val="24"/>
        </w:rPr>
        <w:t xml:space="preserve">, </w:t>
      </w:r>
      <w:r>
        <w:tab/>
      </w:r>
      <w:r>
        <w:rPr>
          <w:rFonts w:ascii="Times New Roman" w:eastAsia="Times New Roman" w:hAnsi="Times New Roman"/>
          <w:color w:val="000000"/>
          <w:sz w:val="24"/>
        </w:rPr>
        <w:t xml:space="preserve">106964–106964. https://doi.org/10.1016/j.chiabu.2024.106964 </w:t>
      </w:r>
      <w:r>
        <w:br/>
      </w:r>
      <w:r>
        <w:rPr>
          <w:rFonts w:ascii="Times New Roman" w:eastAsia="Times New Roman" w:hAnsi="Times New Roman"/>
          <w:color w:val="000000"/>
          <w:sz w:val="24"/>
        </w:rPr>
        <w:t xml:space="preserve">Connell, C. M., Kim, H. W., Shipe, S. L., Pittenger, S. L., &amp; </w:t>
      </w:r>
      <w:proofErr w:type="spellStart"/>
      <w:r>
        <w:rPr>
          <w:rFonts w:ascii="Times New Roman" w:eastAsia="Times New Roman" w:hAnsi="Times New Roman"/>
          <w:color w:val="000000"/>
          <w:sz w:val="24"/>
        </w:rPr>
        <w:t>Tebes</w:t>
      </w:r>
      <w:proofErr w:type="spellEnd"/>
      <w:r>
        <w:rPr>
          <w:rFonts w:ascii="Times New Roman" w:eastAsia="Times New Roman" w:hAnsi="Times New Roman"/>
          <w:color w:val="000000"/>
          <w:sz w:val="24"/>
        </w:rPr>
        <w:t xml:space="preserve">, J. K. (2022). Effects of </w:t>
      </w:r>
      <w:r>
        <w:tab/>
      </w:r>
      <w:r>
        <w:rPr>
          <w:rFonts w:ascii="Times New Roman" w:eastAsia="Times New Roman" w:hAnsi="Times New Roman"/>
          <w:color w:val="000000"/>
          <w:sz w:val="24"/>
        </w:rPr>
        <w:t xml:space="preserve">Community-Based Wraparound Services on Child and Caregiver Outcomes Following </w:t>
      </w:r>
      <w:r>
        <w:tab/>
      </w:r>
      <w:r>
        <w:rPr>
          <w:rFonts w:ascii="Times New Roman" w:eastAsia="Times New Roman" w:hAnsi="Times New Roman"/>
          <w:color w:val="000000"/>
          <w:sz w:val="24"/>
        </w:rPr>
        <w:t xml:space="preserve">Child Protective Service Involvement. </w:t>
      </w:r>
      <w:r>
        <w:rPr>
          <w:rFonts w:ascii="Times New Roman" w:eastAsia="Times New Roman" w:hAnsi="Times New Roman"/>
          <w:i/>
          <w:color w:val="000000"/>
          <w:sz w:val="24"/>
        </w:rPr>
        <w:t>Child Maltreatment</w:t>
      </w:r>
      <w:r>
        <w:rPr>
          <w:rFonts w:ascii="Times New Roman" w:eastAsia="Times New Roman" w:hAnsi="Times New Roman"/>
          <w:color w:val="000000"/>
          <w:sz w:val="24"/>
        </w:rPr>
        <w:t xml:space="preserve">, 107755952211254. </w:t>
      </w:r>
    </w:p>
    <w:p w:rsidR="00831E1E" w:rsidRDefault="00831E1E" w:rsidP="00831E1E">
      <w:pPr>
        <w:tabs>
          <w:tab w:val="left" w:pos="720"/>
        </w:tabs>
        <w:autoSpaceDE w:val="0"/>
        <w:autoSpaceDN w:val="0"/>
        <w:spacing w:before="286" w:after="0" w:line="418" w:lineRule="auto"/>
        <w:ind w:right="288"/>
      </w:pPr>
      <w:r>
        <w:tab/>
      </w:r>
      <w:r>
        <w:rPr>
          <w:rFonts w:ascii="Times New Roman" w:eastAsia="Times New Roman" w:hAnsi="Times New Roman"/>
          <w:color w:val="000000"/>
          <w:sz w:val="24"/>
        </w:rPr>
        <w:t xml:space="preserve">https://doi.org/10.1177/10775595221125454 </w:t>
      </w:r>
      <w:r>
        <w:br/>
      </w:r>
      <w:r>
        <w:rPr>
          <w:rFonts w:ascii="Times New Roman" w:eastAsia="Times New Roman" w:hAnsi="Times New Roman"/>
          <w:color w:val="000000"/>
          <w:sz w:val="24"/>
        </w:rPr>
        <w:t xml:space="preserve">Crompton, L., Chu, N., Pollock, N. J., Fluke, J., &amp; </w:t>
      </w:r>
      <w:proofErr w:type="spellStart"/>
      <w:r>
        <w:rPr>
          <w:rFonts w:ascii="Times New Roman" w:eastAsia="Times New Roman" w:hAnsi="Times New Roman"/>
          <w:color w:val="000000"/>
          <w:sz w:val="24"/>
        </w:rPr>
        <w:t>Tonmyr</w:t>
      </w:r>
      <w:proofErr w:type="spellEnd"/>
      <w:r>
        <w:rPr>
          <w:rFonts w:ascii="Times New Roman" w:eastAsia="Times New Roman" w:hAnsi="Times New Roman"/>
          <w:color w:val="000000"/>
          <w:sz w:val="24"/>
        </w:rPr>
        <w:t xml:space="preserve">, L. (2026). Measuring social and </w:t>
      </w:r>
      <w:r>
        <w:tab/>
      </w:r>
      <w:r>
        <w:rPr>
          <w:rFonts w:ascii="Times New Roman" w:eastAsia="Times New Roman" w:hAnsi="Times New Roman"/>
          <w:color w:val="000000"/>
          <w:sz w:val="24"/>
        </w:rPr>
        <w:t xml:space="preserve">community services for children, youth, and families in contact with the child welfare </w:t>
      </w:r>
      <w:r>
        <w:tab/>
      </w:r>
      <w:r>
        <w:rPr>
          <w:rFonts w:ascii="Times New Roman" w:eastAsia="Times New Roman" w:hAnsi="Times New Roman"/>
          <w:color w:val="000000"/>
          <w:sz w:val="24"/>
        </w:rPr>
        <w:t xml:space="preserve">system: A scoping review. </w:t>
      </w:r>
      <w:r>
        <w:rPr>
          <w:rFonts w:ascii="Times New Roman" w:eastAsia="Times New Roman" w:hAnsi="Times New Roman"/>
          <w:i/>
          <w:color w:val="000000"/>
          <w:sz w:val="24"/>
        </w:rPr>
        <w:t>Child Protection and Practice</w:t>
      </w:r>
      <w:r>
        <w:rPr>
          <w:rFonts w:ascii="Times New Roman" w:eastAsia="Times New Roman" w:hAnsi="Times New Roman"/>
          <w:color w:val="000000"/>
          <w:sz w:val="24"/>
        </w:rPr>
        <w:t xml:space="preserve">, </w:t>
      </w:r>
      <w:r>
        <w:rPr>
          <w:rFonts w:ascii="Times New Roman" w:eastAsia="Times New Roman" w:hAnsi="Times New Roman"/>
          <w:i/>
          <w:color w:val="000000"/>
          <w:sz w:val="24"/>
        </w:rPr>
        <w:t>8</w:t>
      </w:r>
      <w:r>
        <w:rPr>
          <w:rFonts w:ascii="Times New Roman" w:eastAsia="Times New Roman" w:hAnsi="Times New Roman"/>
          <w:color w:val="000000"/>
          <w:sz w:val="24"/>
        </w:rPr>
        <w:t xml:space="preserve">, 100266. </w:t>
      </w:r>
    </w:p>
    <w:p w:rsidR="00831E1E" w:rsidRDefault="00831E1E" w:rsidP="00831E1E">
      <w:pPr>
        <w:tabs>
          <w:tab w:val="left" w:pos="720"/>
        </w:tabs>
        <w:autoSpaceDE w:val="0"/>
        <w:autoSpaceDN w:val="0"/>
        <w:spacing w:before="286" w:after="0" w:line="396" w:lineRule="auto"/>
        <w:ind w:right="288"/>
      </w:pPr>
      <w:r>
        <w:tab/>
      </w:r>
      <w:r>
        <w:rPr>
          <w:rFonts w:ascii="Times New Roman" w:eastAsia="Times New Roman" w:hAnsi="Times New Roman"/>
          <w:color w:val="000000"/>
          <w:sz w:val="24"/>
        </w:rPr>
        <w:t xml:space="preserve">https://doi.org/10.1016/j.chipro.2025.100266 </w:t>
      </w:r>
      <w:r>
        <w:br/>
      </w:r>
      <w:r>
        <w:rPr>
          <w:rFonts w:ascii="Times New Roman" w:eastAsia="Times New Roman" w:hAnsi="Times New Roman"/>
          <w:color w:val="000000"/>
          <w:sz w:val="24"/>
        </w:rPr>
        <w:t xml:space="preserve">Davies, K., Ross, N., Cocks, J., &amp; Foote, W. (2023). Family inclusion in child protection: </w:t>
      </w:r>
      <w:r>
        <w:tab/>
      </w:r>
      <w:r>
        <w:rPr>
          <w:rFonts w:ascii="Times New Roman" w:eastAsia="Times New Roman" w:hAnsi="Times New Roman"/>
          <w:color w:val="000000"/>
          <w:sz w:val="24"/>
        </w:rPr>
        <w:t xml:space="preserve">Knowledge, power and resistance. </w:t>
      </w:r>
      <w:r>
        <w:rPr>
          <w:rFonts w:ascii="Times New Roman" w:eastAsia="Times New Roman" w:hAnsi="Times New Roman"/>
          <w:i/>
          <w:color w:val="000000"/>
          <w:sz w:val="24"/>
        </w:rPr>
        <w:t>Children and Youth Services Review</w:t>
      </w:r>
      <w:r>
        <w:rPr>
          <w:rFonts w:ascii="Times New Roman" w:eastAsia="Times New Roman" w:hAnsi="Times New Roman"/>
          <w:color w:val="000000"/>
          <w:sz w:val="24"/>
        </w:rPr>
        <w:t xml:space="preserve">, </w:t>
      </w:r>
      <w:r>
        <w:rPr>
          <w:rFonts w:ascii="Times New Roman" w:eastAsia="Times New Roman" w:hAnsi="Times New Roman"/>
          <w:i/>
          <w:color w:val="000000"/>
          <w:sz w:val="24"/>
        </w:rPr>
        <w:t>147</w:t>
      </w:r>
      <w:r>
        <w:rPr>
          <w:rFonts w:ascii="Times New Roman" w:eastAsia="Times New Roman" w:hAnsi="Times New Roman"/>
          <w:color w:val="000000"/>
          <w:sz w:val="24"/>
        </w:rPr>
        <w:t xml:space="preserve">, 106860. </w:t>
      </w:r>
    </w:p>
    <w:p w:rsidR="00831E1E" w:rsidRDefault="00831E1E" w:rsidP="00831E1E">
      <w:pPr>
        <w:autoSpaceDE w:val="0"/>
        <w:autoSpaceDN w:val="0"/>
        <w:spacing w:before="286" w:after="0" w:line="230" w:lineRule="auto"/>
        <w:ind w:left="720"/>
      </w:pPr>
      <w:r>
        <w:rPr>
          <w:rFonts w:ascii="Times New Roman" w:eastAsia="Times New Roman" w:hAnsi="Times New Roman"/>
          <w:color w:val="000000"/>
          <w:sz w:val="24"/>
        </w:rPr>
        <w:t xml:space="preserve">https://doi.org/10.1016/j.childyouth.2023.106860 </w:t>
      </w:r>
    </w:p>
    <w:p w:rsidR="00831E1E" w:rsidRDefault="00831E1E" w:rsidP="00831E1E">
      <w:pPr>
        <w:sectPr w:rsidR="00831E1E" w:rsidSect="00831E1E">
          <w:pgSz w:w="12240" w:h="15840"/>
          <w:pgMar w:top="724" w:right="1372" w:bottom="1264"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tabs>
          <w:tab w:val="left" w:pos="720"/>
        </w:tabs>
        <w:autoSpaceDE w:val="0"/>
        <w:autoSpaceDN w:val="0"/>
        <w:spacing w:after="0" w:line="430" w:lineRule="auto"/>
        <w:ind w:right="144"/>
      </w:pPr>
      <w:r>
        <w:rPr>
          <w:rFonts w:ascii="Times New Roman" w:eastAsia="Times New Roman" w:hAnsi="Times New Roman"/>
          <w:color w:val="000000"/>
          <w:sz w:val="24"/>
        </w:rPr>
        <w:t xml:space="preserve">Fuller, T., &amp; Zhang, S. (2017). The Impact of Family Engagement and Child Welfare Services </w:t>
      </w:r>
      <w:r>
        <w:tab/>
      </w:r>
      <w:r>
        <w:rPr>
          <w:rFonts w:ascii="Times New Roman" w:eastAsia="Times New Roman" w:hAnsi="Times New Roman"/>
          <w:color w:val="000000"/>
          <w:sz w:val="24"/>
        </w:rPr>
        <w:t xml:space="preserve">on Maltreatment Re-reports and Substantiated Re-reports. </w:t>
      </w:r>
      <w:r>
        <w:rPr>
          <w:rFonts w:ascii="Times New Roman" w:eastAsia="Times New Roman" w:hAnsi="Times New Roman"/>
          <w:i/>
          <w:color w:val="000000"/>
          <w:sz w:val="24"/>
        </w:rPr>
        <w:t>Child Maltreatment</w:t>
      </w:r>
      <w:r>
        <w:rPr>
          <w:rFonts w:ascii="Times New Roman" w:eastAsia="Times New Roman" w:hAnsi="Times New Roman"/>
          <w:color w:val="000000"/>
          <w:sz w:val="24"/>
        </w:rPr>
        <w:t xml:space="preserve">, </w:t>
      </w:r>
      <w:r>
        <w:rPr>
          <w:rFonts w:ascii="Times New Roman" w:eastAsia="Times New Roman" w:hAnsi="Times New Roman"/>
          <w:i/>
          <w:color w:val="000000"/>
          <w:sz w:val="24"/>
        </w:rPr>
        <w:t>22</w:t>
      </w:r>
      <w:r>
        <w:rPr>
          <w:rFonts w:ascii="Times New Roman" w:eastAsia="Times New Roman" w:hAnsi="Times New Roman"/>
          <w:color w:val="000000"/>
          <w:sz w:val="24"/>
        </w:rPr>
        <w:t xml:space="preserve">(3), </w:t>
      </w:r>
      <w:r>
        <w:tab/>
      </w:r>
      <w:r>
        <w:rPr>
          <w:rFonts w:ascii="Times New Roman" w:eastAsia="Times New Roman" w:hAnsi="Times New Roman"/>
          <w:color w:val="000000"/>
          <w:sz w:val="24"/>
        </w:rPr>
        <w:t xml:space="preserve">183–193. https://doi.org/10.1177/1077559517709996 </w:t>
      </w:r>
      <w:r>
        <w:br/>
      </w:r>
      <w:r>
        <w:rPr>
          <w:rFonts w:ascii="Times New Roman" w:eastAsia="Times New Roman" w:hAnsi="Times New Roman"/>
          <w:color w:val="000000"/>
          <w:sz w:val="24"/>
        </w:rPr>
        <w:t xml:space="preserve">Fuseini, S. (2024). “Suffering in silence”: How social workers in child welfare practice </w:t>
      </w:r>
      <w:r>
        <w:tab/>
      </w:r>
      <w:r>
        <w:rPr>
          <w:rFonts w:ascii="Times New Roman" w:eastAsia="Times New Roman" w:hAnsi="Times New Roman"/>
          <w:color w:val="000000"/>
          <w:sz w:val="24"/>
        </w:rPr>
        <w:t xml:space="preserve">experience and manage burnout. </w:t>
      </w:r>
      <w:r>
        <w:rPr>
          <w:rFonts w:ascii="Times New Roman" w:eastAsia="Times New Roman" w:hAnsi="Times New Roman"/>
          <w:i/>
          <w:color w:val="000000"/>
          <w:sz w:val="24"/>
        </w:rPr>
        <w:t>Children and Youth Services Review</w:t>
      </w:r>
      <w:r>
        <w:rPr>
          <w:rFonts w:ascii="Times New Roman" w:eastAsia="Times New Roman" w:hAnsi="Times New Roman"/>
          <w:color w:val="000000"/>
          <w:sz w:val="24"/>
        </w:rPr>
        <w:t xml:space="preserve">, </w:t>
      </w:r>
      <w:r>
        <w:rPr>
          <w:rFonts w:ascii="Times New Roman" w:eastAsia="Times New Roman" w:hAnsi="Times New Roman"/>
          <w:i/>
          <w:color w:val="000000"/>
          <w:sz w:val="24"/>
        </w:rPr>
        <w:t>166</w:t>
      </w:r>
      <w:r>
        <w:rPr>
          <w:rFonts w:ascii="Times New Roman" w:eastAsia="Times New Roman" w:hAnsi="Times New Roman"/>
          <w:color w:val="000000"/>
          <w:sz w:val="24"/>
        </w:rPr>
        <w:t xml:space="preserve">. </w:t>
      </w:r>
    </w:p>
    <w:p w:rsidR="00831E1E" w:rsidRDefault="00831E1E" w:rsidP="00831E1E">
      <w:pPr>
        <w:tabs>
          <w:tab w:val="left" w:pos="720"/>
        </w:tabs>
        <w:autoSpaceDE w:val="0"/>
        <w:autoSpaceDN w:val="0"/>
        <w:spacing w:before="286" w:after="0" w:line="444" w:lineRule="auto"/>
      </w:pPr>
      <w:r>
        <w:tab/>
      </w:r>
      <w:r>
        <w:rPr>
          <w:rFonts w:ascii="Times New Roman" w:eastAsia="Times New Roman" w:hAnsi="Times New Roman"/>
          <w:color w:val="000000"/>
          <w:sz w:val="24"/>
        </w:rPr>
        <w:t xml:space="preserve">https://doi.org/10.1016/j.childyouth.2024.107939 </w:t>
      </w:r>
      <w:r>
        <w:br/>
      </w:r>
      <w:r>
        <w:rPr>
          <w:rFonts w:ascii="Times New Roman" w:eastAsia="Times New Roman" w:hAnsi="Times New Roman"/>
          <w:color w:val="000000"/>
          <w:sz w:val="24"/>
        </w:rPr>
        <w:t xml:space="preserve">Jukes, L. M., Di Folco, S., Kearney, L., &amp; </w:t>
      </w:r>
      <w:proofErr w:type="spellStart"/>
      <w:r>
        <w:rPr>
          <w:rFonts w:ascii="Times New Roman" w:eastAsia="Times New Roman" w:hAnsi="Times New Roman"/>
          <w:color w:val="000000"/>
          <w:sz w:val="24"/>
        </w:rPr>
        <w:t>Sawrikar</w:t>
      </w:r>
      <w:proofErr w:type="spellEnd"/>
      <w:r>
        <w:rPr>
          <w:rFonts w:ascii="Times New Roman" w:eastAsia="Times New Roman" w:hAnsi="Times New Roman"/>
          <w:color w:val="000000"/>
          <w:sz w:val="24"/>
        </w:rPr>
        <w:t xml:space="preserve">, V. (2022). Barriers and Facilitators to </w:t>
      </w:r>
      <w:r>
        <w:tab/>
      </w:r>
      <w:r>
        <w:rPr>
          <w:rFonts w:ascii="Times New Roman" w:eastAsia="Times New Roman" w:hAnsi="Times New Roman"/>
          <w:color w:val="000000"/>
          <w:sz w:val="24"/>
        </w:rPr>
        <w:t xml:space="preserve">Engaging Mothers and Fathers in Family-Based Interventions: A Qualitative Systematic </w:t>
      </w:r>
      <w:r>
        <w:tab/>
      </w:r>
      <w:r>
        <w:rPr>
          <w:rFonts w:ascii="Times New Roman" w:eastAsia="Times New Roman" w:hAnsi="Times New Roman"/>
          <w:color w:val="000000"/>
          <w:sz w:val="24"/>
        </w:rPr>
        <w:t xml:space="preserve">Review. </w:t>
      </w:r>
      <w:r>
        <w:rPr>
          <w:rFonts w:ascii="Times New Roman" w:eastAsia="Times New Roman" w:hAnsi="Times New Roman"/>
          <w:i/>
          <w:color w:val="000000"/>
          <w:sz w:val="24"/>
        </w:rPr>
        <w:t>Child Psychiatry &amp; Human Development</w:t>
      </w:r>
      <w:r>
        <w:rPr>
          <w:rFonts w:ascii="Times New Roman" w:eastAsia="Times New Roman" w:hAnsi="Times New Roman"/>
          <w:color w:val="000000"/>
          <w:sz w:val="24"/>
        </w:rPr>
        <w:t xml:space="preserve">, </w:t>
      </w:r>
      <w:r>
        <w:rPr>
          <w:rFonts w:ascii="Times New Roman" w:eastAsia="Times New Roman" w:hAnsi="Times New Roman"/>
          <w:i/>
          <w:color w:val="000000"/>
          <w:sz w:val="24"/>
        </w:rPr>
        <w:t>55</w:t>
      </w:r>
      <w:r>
        <w:rPr>
          <w:rFonts w:ascii="Times New Roman" w:eastAsia="Times New Roman" w:hAnsi="Times New Roman"/>
          <w:color w:val="000000"/>
          <w:sz w:val="24"/>
        </w:rPr>
        <w:t>. https://doi.org/10.1007/s10578-</w:t>
      </w:r>
      <w:r>
        <w:tab/>
      </w:r>
      <w:r>
        <w:rPr>
          <w:rFonts w:ascii="Times New Roman" w:eastAsia="Times New Roman" w:hAnsi="Times New Roman"/>
          <w:color w:val="000000"/>
          <w:sz w:val="24"/>
        </w:rPr>
        <w:t xml:space="preserve">022-01389-6 </w:t>
      </w:r>
      <w:r>
        <w:br/>
      </w:r>
      <w:r>
        <w:rPr>
          <w:rFonts w:ascii="Times New Roman" w:eastAsia="Times New Roman" w:hAnsi="Times New Roman"/>
          <w:color w:val="000000"/>
          <w:sz w:val="24"/>
        </w:rPr>
        <w:t xml:space="preserve">Kristel Høie Nilsen, Lauritzen, C., Svein Arild Vis, &amp; Iversen, A. (2023). Factors affecting child </w:t>
      </w:r>
      <w:r>
        <w:tab/>
      </w:r>
      <w:r>
        <w:rPr>
          <w:rFonts w:ascii="Times New Roman" w:eastAsia="Times New Roman" w:hAnsi="Times New Roman"/>
          <w:color w:val="000000"/>
          <w:sz w:val="24"/>
        </w:rPr>
        <w:t xml:space="preserve">welfare and protection workers’ intention to quit: a cross-sectional study from Norway. </w:t>
      </w:r>
    </w:p>
    <w:p w:rsidR="00831E1E" w:rsidRDefault="00831E1E" w:rsidP="00831E1E">
      <w:pPr>
        <w:tabs>
          <w:tab w:val="left" w:pos="720"/>
        </w:tabs>
        <w:autoSpaceDE w:val="0"/>
        <w:autoSpaceDN w:val="0"/>
        <w:spacing w:before="286" w:after="0" w:line="396" w:lineRule="auto"/>
        <w:ind w:right="288"/>
      </w:pPr>
      <w:r>
        <w:tab/>
      </w:r>
      <w:r>
        <w:rPr>
          <w:rFonts w:ascii="Times New Roman" w:eastAsia="Times New Roman" w:hAnsi="Times New Roman"/>
          <w:i/>
          <w:color w:val="000000"/>
          <w:sz w:val="24"/>
        </w:rPr>
        <w:t>Human Resources for Health</w:t>
      </w:r>
      <w:r>
        <w:rPr>
          <w:rFonts w:ascii="Times New Roman" w:eastAsia="Times New Roman" w:hAnsi="Times New Roman"/>
          <w:color w:val="000000"/>
          <w:sz w:val="24"/>
        </w:rPr>
        <w:t xml:space="preserve">, </w:t>
      </w:r>
      <w:r>
        <w:rPr>
          <w:rFonts w:ascii="Times New Roman" w:eastAsia="Times New Roman" w:hAnsi="Times New Roman"/>
          <w:i/>
          <w:color w:val="000000"/>
          <w:sz w:val="24"/>
        </w:rPr>
        <w:t>21</w:t>
      </w:r>
      <w:r>
        <w:rPr>
          <w:rFonts w:ascii="Times New Roman" w:eastAsia="Times New Roman" w:hAnsi="Times New Roman"/>
          <w:color w:val="000000"/>
          <w:sz w:val="24"/>
        </w:rPr>
        <w:t xml:space="preserve">(1). https://doi.org/10.1186/s12960-023-00829-1 LaBrenz, C. A., Fong, R., &amp; Cubbin, C. (2020). The road to reunification: Family- and state </w:t>
      </w:r>
      <w:r>
        <w:tab/>
      </w:r>
      <w:r>
        <w:rPr>
          <w:rFonts w:ascii="Times New Roman" w:eastAsia="Times New Roman" w:hAnsi="Times New Roman"/>
          <w:color w:val="000000"/>
          <w:sz w:val="24"/>
        </w:rPr>
        <w:t xml:space="preserve">system-factors associated with successful reunification for children ages zero-to-five. </w:t>
      </w:r>
    </w:p>
    <w:p w:rsidR="00831E1E" w:rsidRDefault="00831E1E" w:rsidP="00831E1E">
      <w:pPr>
        <w:tabs>
          <w:tab w:val="left" w:pos="720"/>
        </w:tabs>
        <w:autoSpaceDE w:val="0"/>
        <w:autoSpaceDN w:val="0"/>
        <w:spacing w:before="286" w:after="0" w:line="418" w:lineRule="auto"/>
      </w:pPr>
      <w:r>
        <w:tab/>
      </w:r>
      <w:r>
        <w:rPr>
          <w:rFonts w:ascii="Times New Roman" w:eastAsia="Times New Roman" w:hAnsi="Times New Roman"/>
          <w:i/>
          <w:color w:val="000000"/>
          <w:sz w:val="24"/>
        </w:rPr>
        <w:t>Child Abuse &amp; Neglect</w:t>
      </w:r>
      <w:r>
        <w:rPr>
          <w:rFonts w:ascii="Times New Roman" w:eastAsia="Times New Roman" w:hAnsi="Times New Roman"/>
          <w:color w:val="000000"/>
          <w:sz w:val="24"/>
        </w:rPr>
        <w:t xml:space="preserve">, </w:t>
      </w:r>
      <w:r>
        <w:rPr>
          <w:rFonts w:ascii="Times New Roman" w:eastAsia="Times New Roman" w:hAnsi="Times New Roman"/>
          <w:i/>
          <w:color w:val="000000"/>
          <w:sz w:val="24"/>
        </w:rPr>
        <w:t>99</w:t>
      </w:r>
      <w:r>
        <w:rPr>
          <w:rFonts w:ascii="Times New Roman" w:eastAsia="Times New Roman" w:hAnsi="Times New Roman"/>
          <w:color w:val="000000"/>
          <w:sz w:val="24"/>
        </w:rPr>
        <w:t xml:space="preserve">, 104252. https://doi.org/10.1016/j.chiabu.2019.104252 Lai, J., Graef, M., &amp; Franke, T. (2025). Exploring the dynamics and outcomes of family </w:t>
      </w:r>
      <w:r>
        <w:tab/>
      </w:r>
      <w:r>
        <w:rPr>
          <w:rFonts w:ascii="Times New Roman" w:eastAsia="Times New Roman" w:hAnsi="Times New Roman"/>
          <w:color w:val="000000"/>
          <w:sz w:val="24"/>
        </w:rPr>
        <w:t xml:space="preserve">engagement in child welfare services: A structural equation modeling approach. </w:t>
      </w:r>
      <w:r>
        <w:rPr>
          <w:rFonts w:ascii="Times New Roman" w:eastAsia="Times New Roman" w:hAnsi="Times New Roman"/>
          <w:i/>
          <w:color w:val="000000"/>
          <w:sz w:val="24"/>
        </w:rPr>
        <w:t xml:space="preserve">Children </w:t>
      </w:r>
      <w:r>
        <w:tab/>
      </w:r>
      <w:r>
        <w:rPr>
          <w:rFonts w:ascii="Times New Roman" w:eastAsia="Times New Roman" w:hAnsi="Times New Roman"/>
          <w:i/>
          <w:color w:val="000000"/>
          <w:sz w:val="24"/>
        </w:rPr>
        <w:t>and Youth Services Review</w:t>
      </w:r>
      <w:r>
        <w:rPr>
          <w:rFonts w:ascii="Times New Roman" w:eastAsia="Times New Roman" w:hAnsi="Times New Roman"/>
          <w:color w:val="000000"/>
          <w:sz w:val="24"/>
        </w:rPr>
        <w:t xml:space="preserve">, </w:t>
      </w:r>
      <w:r>
        <w:rPr>
          <w:rFonts w:ascii="Times New Roman" w:eastAsia="Times New Roman" w:hAnsi="Times New Roman"/>
          <w:i/>
          <w:color w:val="000000"/>
          <w:sz w:val="24"/>
        </w:rPr>
        <w:t>171</w:t>
      </w:r>
      <w:r>
        <w:rPr>
          <w:rFonts w:ascii="Times New Roman" w:eastAsia="Times New Roman" w:hAnsi="Times New Roman"/>
          <w:color w:val="000000"/>
          <w:sz w:val="24"/>
        </w:rPr>
        <w:t xml:space="preserve">, 108172. </w:t>
      </w:r>
    </w:p>
    <w:p w:rsidR="00831E1E" w:rsidRDefault="00831E1E" w:rsidP="00831E1E">
      <w:pPr>
        <w:tabs>
          <w:tab w:val="left" w:pos="720"/>
        </w:tabs>
        <w:autoSpaceDE w:val="0"/>
        <w:autoSpaceDN w:val="0"/>
        <w:spacing w:before="286" w:after="0" w:line="418" w:lineRule="auto"/>
        <w:ind w:right="144"/>
      </w:pPr>
      <w:r>
        <w:tab/>
      </w:r>
      <w:r>
        <w:rPr>
          <w:rFonts w:ascii="Times New Roman" w:eastAsia="Times New Roman" w:hAnsi="Times New Roman"/>
          <w:color w:val="000000"/>
          <w:sz w:val="24"/>
        </w:rPr>
        <w:t xml:space="preserve">https://doi.org/10.1016/j.childyouth.2025.108172 </w:t>
      </w:r>
      <w:r>
        <w:br/>
      </w:r>
      <w:r>
        <w:rPr>
          <w:rFonts w:ascii="Times New Roman" w:eastAsia="Times New Roman" w:hAnsi="Times New Roman"/>
          <w:color w:val="000000"/>
          <w:sz w:val="24"/>
        </w:rPr>
        <w:t xml:space="preserve">MacLochlainn, J., McFadden, P., McGrory, S., McColgan, M., Naylor, R., McGinnis, E., </w:t>
      </w:r>
      <w:r>
        <w:tab/>
      </w:r>
      <w:r>
        <w:rPr>
          <w:rFonts w:ascii="Times New Roman" w:eastAsia="Times New Roman" w:hAnsi="Times New Roman"/>
          <w:color w:val="000000"/>
          <w:sz w:val="24"/>
        </w:rPr>
        <w:t xml:space="preserve">McSherry, D., Martin, G., &amp; Mallett, J. (2026). The effects of child protection social </w:t>
      </w:r>
      <w:r>
        <w:tab/>
      </w:r>
      <w:r>
        <w:rPr>
          <w:rFonts w:ascii="Times New Roman" w:eastAsia="Times New Roman" w:hAnsi="Times New Roman"/>
          <w:color w:val="000000"/>
          <w:sz w:val="24"/>
        </w:rPr>
        <w:t xml:space="preserve">worker turnover on children and families: A scoping review addressing a critical gap in </w:t>
      </w:r>
    </w:p>
    <w:p w:rsidR="00831E1E" w:rsidRDefault="00831E1E" w:rsidP="00831E1E">
      <w:pPr>
        <w:sectPr w:rsidR="00831E1E" w:rsidSect="00831E1E">
          <w:pgSz w:w="12240" w:h="15840"/>
          <w:pgMar w:top="724" w:right="1406" w:bottom="988" w:left="1440" w:header="720" w:footer="720" w:gutter="0"/>
          <w:cols w:space="720"/>
          <w:docGrid w:linePitch="360"/>
        </w:sectPr>
      </w:pPr>
    </w:p>
    <w:p w:rsidR="00831E1E" w:rsidRDefault="00831E1E" w:rsidP="00831E1E">
      <w:pPr>
        <w:autoSpaceDE w:val="0"/>
        <w:autoSpaceDN w:val="0"/>
        <w:spacing w:after="506" w:line="220" w:lineRule="exact"/>
      </w:pPr>
    </w:p>
    <w:p w:rsidR="00831E1E" w:rsidRDefault="00831E1E" w:rsidP="00831E1E">
      <w:pPr>
        <w:autoSpaceDE w:val="0"/>
        <w:autoSpaceDN w:val="0"/>
        <w:spacing w:after="0" w:line="230" w:lineRule="auto"/>
        <w:ind w:left="720"/>
      </w:pPr>
      <w:r>
        <w:rPr>
          <w:rFonts w:ascii="Times New Roman" w:eastAsia="Times New Roman" w:hAnsi="Times New Roman"/>
          <w:color w:val="000000"/>
          <w:sz w:val="24"/>
        </w:rPr>
        <w:t xml:space="preserve">social work turnover research. </w:t>
      </w:r>
      <w:r>
        <w:rPr>
          <w:rFonts w:ascii="Times New Roman" w:eastAsia="Times New Roman" w:hAnsi="Times New Roman"/>
          <w:i/>
          <w:color w:val="000000"/>
          <w:sz w:val="24"/>
        </w:rPr>
        <w:t>The British Journal of Social Work</w:t>
      </w:r>
      <w:r>
        <w:rPr>
          <w:rFonts w:ascii="Times New Roman" w:eastAsia="Times New Roman" w:hAnsi="Times New Roman"/>
          <w:color w:val="000000"/>
          <w:sz w:val="24"/>
        </w:rPr>
        <w:t xml:space="preserve">. </w:t>
      </w:r>
    </w:p>
    <w:p w:rsidR="00831E1E" w:rsidRDefault="00831E1E" w:rsidP="00831E1E">
      <w:pPr>
        <w:tabs>
          <w:tab w:val="left" w:pos="720"/>
        </w:tabs>
        <w:autoSpaceDE w:val="0"/>
        <w:autoSpaceDN w:val="0"/>
        <w:spacing w:before="286" w:after="0" w:line="396" w:lineRule="auto"/>
      </w:pPr>
      <w:r>
        <w:tab/>
      </w:r>
      <w:r>
        <w:rPr>
          <w:rFonts w:ascii="Times New Roman" w:eastAsia="Times New Roman" w:hAnsi="Times New Roman"/>
          <w:color w:val="000000"/>
          <w:sz w:val="24"/>
        </w:rPr>
        <w:t xml:space="preserve">https://doi.org/10.1093/bjsw/bcaf276 </w:t>
      </w:r>
      <w:r>
        <w:br/>
      </w:r>
      <w:r>
        <w:rPr>
          <w:rFonts w:ascii="Times New Roman" w:eastAsia="Times New Roman" w:hAnsi="Times New Roman"/>
          <w:color w:val="000000"/>
          <w:sz w:val="24"/>
        </w:rPr>
        <w:t xml:space="preserve">McFadden, P., Davies, H., Manthorpe, J., MacLochlainn, J., McGrory, S., Naylor, R., Mallett, J., </w:t>
      </w:r>
      <w:r>
        <w:tab/>
      </w:r>
      <w:r>
        <w:rPr>
          <w:rFonts w:ascii="Times New Roman" w:eastAsia="Times New Roman" w:hAnsi="Times New Roman"/>
          <w:color w:val="000000"/>
          <w:sz w:val="24"/>
        </w:rPr>
        <w:t xml:space="preserve">Kirby, K., Currie, D., Schroder, H., Nicholl, P., </w:t>
      </w:r>
      <w:proofErr w:type="spellStart"/>
      <w:r>
        <w:rPr>
          <w:rFonts w:ascii="Times New Roman" w:eastAsia="Times New Roman" w:hAnsi="Times New Roman"/>
          <w:color w:val="000000"/>
          <w:sz w:val="24"/>
        </w:rPr>
        <w:t>Mullineux</w:t>
      </w:r>
      <w:proofErr w:type="spellEnd"/>
      <w:r>
        <w:rPr>
          <w:rFonts w:ascii="Times New Roman" w:eastAsia="Times New Roman" w:hAnsi="Times New Roman"/>
          <w:color w:val="000000"/>
          <w:sz w:val="24"/>
        </w:rPr>
        <w:t xml:space="preserve">, J., &amp; McColgan, M. (2024). </w:t>
      </w:r>
    </w:p>
    <w:p w:rsidR="00831E1E" w:rsidRDefault="00831E1E" w:rsidP="00831E1E">
      <w:pPr>
        <w:autoSpaceDE w:val="0"/>
        <w:autoSpaceDN w:val="0"/>
        <w:spacing w:before="286" w:after="0" w:line="355" w:lineRule="auto"/>
        <w:ind w:left="720" w:right="864"/>
      </w:pPr>
      <w:r>
        <w:rPr>
          <w:rFonts w:ascii="Times New Roman" w:eastAsia="Times New Roman" w:hAnsi="Times New Roman"/>
          <w:color w:val="000000"/>
          <w:sz w:val="24"/>
        </w:rPr>
        <w:t xml:space="preserve">Safe Staffing and Workload Management in Social Work: A Scoping Review of Legislation, Policy and Practice. </w:t>
      </w:r>
      <w:r>
        <w:rPr>
          <w:rFonts w:ascii="Times New Roman" w:eastAsia="Times New Roman" w:hAnsi="Times New Roman"/>
          <w:i/>
          <w:color w:val="000000"/>
          <w:sz w:val="24"/>
        </w:rPr>
        <w:t>The British Journal of Social Work</w:t>
      </w:r>
      <w:r>
        <w:rPr>
          <w:rFonts w:ascii="Times New Roman" w:eastAsia="Times New Roman" w:hAnsi="Times New Roman"/>
          <w:color w:val="000000"/>
          <w:sz w:val="24"/>
        </w:rPr>
        <w:t xml:space="preserve">, </w:t>
      </w:r>
      <w:r>
        <w:rPr>
          <w:rFonts w:ascii="Times New Roman" w:eastAsia="Times New Roman" w:hAnsi="Times New Roman"/>
          <w:i/>
          <w:color w:val="000000"/>
          <w:sz w:val="24"/>
        </w:rPr>
        <w:t>54</w:t>
      </w:r>
      <w:r>
        <w:rPr>
          <w:rFonts w:ascii="Times New Roman" w:eastAsia="Times New Roman" w:hAnsi="Times New Roman"/>
          <w:color w:val="000000"/>
          <w:sz w:val="24"/>
        </w:rPr>
        <w:t xml:space="preserve">(5). </w:t>
      </w:r>
    </w:p>
    <w:p w:rsidR="00831E1E" w:rsidRDefault="00831E1E" w:rsidP="00831E1E">
      <w:pPr>
        <w:tabs>
          <w:tab w:val="left" w:pos="720"/>
        </w:tabs>
        <w:autoSpaceDE w:val="0"/>
        <w:autoSpaceDN w:val="0"/>
        <w:spacing w:before="286" w:after="0" w:line="418" w:lineRule="auto"/>
        <w:ind w:right="1008"/>
      </w:pPr>
      <w:r>
        <w:tab/>
      </w:r>
      <w:r>
        <w:rPr>
          <w:rFonts w:ascii="Times New Roman" w:eastAsia="Times New Roman" w:hAnsi="Times New Roman"/>
          <w:color w:val="000000"/>
          <w:sz w:val="24"/>
        </w:rPr>
        <w:t xml:space="preserve">https://doi.org/10.1093/bjsw/bcae017 </w:t>
      </w:r>
      <w:r>
        <w:br/>
      </w:r>
      <w:r>
        <w:rPr>
          <w:rFonts w:ascii="Times New Roman" w:eastAsia="Times New Roman" w:hAnsi="Times New Roman"/>
          <w:color w:val="000000"/>
          <w:sz w:val="24"/>
        </w:rPr>
        <w:t xml:space="preserve">Teixeira, D. N., Narciso, I., &amp; Henriques, M. R. (2022). Driving for Success in Family </w:t>
      </w:r>
      <w:r>
        <w:tab/>
      </w:r>
      <w:r>
        <w:rPr>
          <w:rFonts w:ascii="Times New Roman" w:eastAsia="Times New Roman" w:hAnsi="Times New Roman"/>
          <w:color w:val="000000"/>
          <w:sz w:val="24"/>
        </w:rPr>
        <w:t xml:space="preserve">Reunification—Professionals’ Views on Intervention. </w:t>
      </w:r>
      <w:r>
        <w:rPr>
          <w:rFonts w:ascii="Times New Roman" w:eastAsia="Times New Roman" w:hAnsi="Times New Roman"/>
          <w:i/>
          <w:color w:val="000000"/>
          <w:sz w:val="24"/>
        </w:rPr>
        <w:t xml:space="preserve">International Journal of </w:t>
      </w:r>
      <w:r>
        <w:tab/>
      </w:r>
      <w:r>
        <w:rPr>
          <w:rFonts w:ascii="Times New Roman" w:eastAsia="Times New Roman" w:hAnsi="Times New Roman"/>
          <w:i/>
          <w:color w:val="000000"/>
          <w:sz w:val="24"/>
        </w:rPr>
        <w:t>Environmental Research and Public Health</w:t>
      </w:r>
      <w:r>
        <w:rPr>
          <w:rFonts w:ascii="Times New Roman" w:eastAsia="Times New Roman" w:hAnsi="Times New Roman"/>
          <w:color w:val="000000"/>
          <w:sz w:val="24"/>
        </w:rPr>
        <w:t xml:space="preserve">, </w:t>
      </w:r>
      <w:r>
        <w:rPr>
          <w:rFonts w:ascii="Times New Roman" w:eastAsia="Times New Roman" w:hAnsi="Times New Roman"/>
          <w:i/>
          <w:color w:val="000000"/>
          <w:sz w:val="24"/>
        </w:rPr>
        <w:t>19</w:t>
      </w:r>
      <w:r>
        <w:rPr>
          <w:rFonts w:ascii="Times New Roman" w:eastAsia="Times New Roman" w:hAnsi="Times New Roman"/>
          <w:color w:val="000000"/>
          <w:sz w:val="24"/>
        </w:rPr>
        <w:t xml:space="preserve">(24), 16594. </w:t>
      </w:r>
    </w:p>
    <w:p w:rsidR="00831E1E" w:rsidRDefault="00831E1E" w:rsidP="00831E1E">
      <w:pPr>
        <w:tabs>
          <w:tab w:val="left" w:pos="720"/>
        </w:tabs>
        <w:autoSpaceDE w:val="0"/>
        <w:autoSpaceDN w:val="0"/>
        <w:spacing w:before="286" w:after="0" w:line="396" w:lineRule="auto"/>
      </w:pPr>
      <w:r>
        <w:tab/>
      </w:r>
      <w:r>
        <w:rPr>
          <w:rFonts w:ascii="Times New Roman" w:eastAsia="Times New Roman" w:hAnsi="Times New Roman"/>
          <w:color w:val="000000"/>
          <w:sz w:val="24"/>
        </w:rPr>
        <w:t xml:space="preserve">https://doi.org/10.3390/ijerph192416594 </w:t>
      </w:r>
      <w:r>
        <w:br/>
      </w:r>
      <w:r>
        <w:rPr>
          <w:rFonts w:ascii="Times New Roman" w:eastAsia="Times New Roman" w:hAnsi="Times New Roman"/>
          <w:color w:val="000000"/>
          <w:sz w:val="24"/>
        </w:rPr>
        <w:t xml:space="preserve">Toros, K., DiNitto, D. M., &amp; Tiko, A. (2018). Family engagement in the child welfare system: A </w:t>
      </w:r>
      <w:r>
        <w:tab/>
      </w:r>
      <w:r>
        <w:rPr>
          <w:rFonts w:ascii="Times New Roman" w:eastAsia="Times New Roman" w:hAnsi="Times New Roman"/>
          <w:color w:val="000000"/>
          <w:sz w:val="24"/>
        </w:rPr>
        <w:t xml:space="preserve">scoping review. </w:t>
      </w:r>
      <w:r>
        <w:rPr>
          <w:rFonts w:ascii="Times New Roman" w:eastAsia="Times New Roman" w:hAnsi="Times New Roman"/>
          <w:i/>
          <w:color w:val="000000"/>
          <w:sz w:val="24"/>
        </w:rPr>
        <w:t>Children and Youth Services Review</w:t>
      </w:r>
      <w:r>
        <w:rPr>
          <w:rFonts w:ascii="Times New Roman" w:eastAsia="Times New Roman" w:hAnsi="Times New Roman"/>
          <w:color w:val="000000"/>
          <w:sz w:val="24"/>
        </w:rPr>
        <w:t xml:space="preserve">, </w:t>
      </w:r>
      <w:r>
        <w:rPr>
          <w:rFonts w:ascii="Times New Roman" w:eastAsia="Times New Roman" w:hAnsi="Times New Roman"/>
          <w:i/>
          <w:color w:val="000000"/>
          <w:sz w:val="24"/>
        </w:rPr>
        <w:t>88</w:t>
      </w:r>
      <w:r>
        <w:rPr>
          <w:rFonts w:ascii="Times New Roman" w:eastAsia="Times New Roman" w:hAnsi="Times New Roman"/>
          <w:color w:val="000000"/>
          <w:sz w:val="24"/>
        </w:rPr>
        <w:t xml:space="preserve">, 598–607. </w:t>
      </w:r>
    </w:p>
    <w:p w:rsidR="00831E1E" w:rsidRDefault="00831E1E" w:rsidP="00831E1E">
      <w:pPr>
        <w:autoSpaceDE w:val="0"/>
        <w:autoSpaceDN w:val="0"/>
        <w:spacing w:before="286" w:after="0" w:line="230" w:lineRule="auto"/>
        <w:ind w:left="720"/>
      </w:pPr>
      <w:r>
        <w:rPr>
          <w:rFonts w:ascii="Times New Roman" w:eastAsia="Times New Roman" w:hAnsi="Times New Roman"/>
          <w:color w:val="000000"/>
          <w:sz w:val="24"/>
        </w:rPr>
        <w:t xml:space="preserve">https://doi.org/10.1016/j.childyouth.2018.03.011  </w:t>
      </w:r>
    </w:p>
    <w:p w:rsidR="00733404" w:rsidRDefault="00733404"/>
    <w:sectPr w:rsidR="00733404" w:rsidSect="00831E1E">
      <w:pgSz w:w="12240" w:h="15840"/>
      <w:pgMar w:top="724" w:right="140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1E"/>
    <w:rsid w:val="000A21F1"/>
    <w:rsid w:val="00132765"/>
    <w:rsid w:val="001B27A8"/>
    <w:rsid w:val="00392A23"/>
    <w:rsid w:val="00714DD7"/>
    <w:rsid w:val="00733404"/>
    <w:rsid w:val="00790C2E"/>
    <w:rsid w:val="00831E1E"/>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102A658-FC6B-E048-9F9F-4D1C5E26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1E"/>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31E1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1E1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1E1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1E1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31E1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31E1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31E1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31E1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31E1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1E"/>
    <w:rPr>
      <w:rFonts w:eastAsiaTheme="majorEastAsia" w:cstheme="majorBidi"/>
      <w:color w:val="272727" w:themeColor="text1" w:themeTint="D8"/>
    </w:rPr>
  </w:style>
  <w:style w:type="paragraph" w:styleId="Title">
    <w:name w:val="Title"/>
    <w:basedOn w:val="Normal"/>
    <w:next w:val="Normal"/>
    <w:link w:val="TitleChar"/>
    <w:uiPriority w:val="10"/>
    <w:qFormat/>
    <w:rsid w:val="00831E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1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1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1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1E"/>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31E1E"/>
    <w:rPr>
      <w:i/>
      <w:iCs/>
      <w:color w:val="404040" w:themeColor="text1" w:themeTint="BF"/>
    </w:rPr>
  </w:style>
  <w:style w:type="paragraph" w:styleId="ListParagraph">
    <w:name w:val="List Paragraph"/>
    <w:basedOn w:val="Normal"/>
    <w:uiPriority w:val="34"/>
    <w:qFormat/>
    <w:rsid w:val="00831E1E"/>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31E1E"/>
    <w:rPr>
      <w:i/>
      <w:iCs/>
      <w:color w:val="2F5496" w:themeColor="accent1" w:themeShade="BF"/>
    </w:rPr>
  </w:style>
  <w:style w:type="paragraph" w:styleId="IntenseQuote">
    <w:name w:val="Intense Quote"/>
    <w:basedOn w:val="Normal"/>
    <w:next w:val="Normal"/>
    <w:link w:val="IntenseQuoteChar"/>
    <w:uiPriority w:val="30"/>
    <w:qFormat/>
    <w:rsid w:val="00831E1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31E1E"/>
    <w:rPr>
      <w:i/>
      <w:iCs/>
      <w:color w:val="2F5496" w:themeColor="accent1" w:themeShade="BF"/>
    </w:rPr>
  </w:style>
  <w:style w:type="character" w:styleId="IntenseReference">
    <w:name w:val="Intense Reference"/>
    <w:basedOn w:val="DefaultParagraphFont"/>
    <w:uiPriority w:val="32"/>
    <w:qFormat/>
    <w:rsid w:val="00831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2329</Words>
  <Characters>13278</Characters>
  <Application>Microsoft Office Word</Application>
  <DocSecurity>0</DocSecurity>
  <Lines>110</Lines>
  <Paragraphs>31</Paragraphs>
  <ScaleCrop>false</ScaleCrop>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2026-04-28T04:48:00Z</dcterms:created>
  <dcterms:modified xsi:type="dcterms:W3CDTF">2026-04-28T04:48:00Z</dcterms:modified>
</cp:coreProperties>
</file>